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widowControl w:val="0"/>
        <w:spacing w:after="120" w:before="120"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widowControl w:val="0"/>
        <w:spacing w:after="120" w:before="12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METODOLOGIA DE MONITORIZARE A FUNCTIONARII SI DEZVOLTARII AFACERILOR FINANTATE IN PERIOADA DE SUSTENABILITATE DIN CADRUL PROIECTULUI </w:t>
      </w:r>
    </w:p>
    <w:p w:rsidR="00000000" w:rsidDel="00000000" w:rsidP="00000000" w:rsidRDefault="00000000" w:rsidRPr="00000000" w14:paraId="00000004">
      <w:pPr>
        <w:widowControl w:val="0"/>
        <w:spacing w:after="120" w:before="12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(11.07.2020 – 02.04.2021)</w:t>
      </w:r>
    </w:p>
    <w:p w:rsidR="00000000" w:rsidDel="00000000" w:rsidP="00000000" w:rsidRDefault="00000000" w:rsidRPr="00000000" w14:paraId="00000005">
      <w:pPr>
        <w:widowControl w:val="0"/>
        <w:spacing w:after="120" w:before="12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widowControl w:val="0"/>
        <w:spacing w:after="120" w:before="12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SCOPUL PROCEDURII</w:t>
      </w:r>
    </w:p>
    <w:p w:rsidR="00000000" w:rsidDel="00000000" w:rsidP="00000000" w:rsidRDefault="00000000" w:rsidRPr="00000000" w14:paraId="00000008">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8"/>
          <w:szCs w:val="28"/>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sz w:val="28"/>
          <w:szCs w:val="28"/>
          <w:rtl w:val="0"/>
        </w:rPr>
        <w:t xml:space="preserve">Prezenta procedură este întocmită în scopul stabilirii unor instrumente adecvate de monitorizare și evaluare necesare derulării activității A.9 MONITORIZARE A FUNCTIONARII SI DEZVOLTARII AFACERILOR FINANTATE IN PERIOADA DE SUSTENABILITATE.</w:t>
      </w:r>
    </w:p>
    <w:p w:rsidR="00000000" w:rsidDel="00000000" w:rsidP="00000000" w:rsidRDefault="00000000" w:rsidRPr="00000000" w14:paraId="0000000A">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În perioada de sustenabilitate a proiectului POCU 104121, experții monitorizare sustenabilitate dezvoltare firme vor efectua pentru fiecare firma cate doua vizite de monitorizare. Fisa vizitei de monitorizare in perioada sustenabilității face parte din prezenta Procedura (Anexa 1). </w:t>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Fonts w:ascii="Arial" w:cs="Arial" w:eastAsia="Arial" w:hAnsi="Arial"/>
          <w:sz w:val="28"/>
          <w:szCs w:val="28"/>
          <w:rtl w:val="0"/>
        </w:rPr>
        <w:tab/>
        <w:t xml:space="preserve">Ca instrument de monitorizare și evaluare, prezenta procedura are, la nivel macro următoarele obiective:</w:t>
      </w:r>
    </w:p>
    <w:p w:rsidR="00000000" w:rsidDel="00000000" w:rsidP="00000000" w:rsidRDefault="00000000" w:rsidRPr="00000000" w14:paraId="0000000D">
      <w:pPr>
        <w:numPr>
          <w:ilvl w:val="2"/>
          <w:numId w:val="4"/>
        </w:numPr>
        <w:spacing w:after="0" w:line="240" w:lineRule="auto"/>
        <w:ind w:left="920" w:hanging="352"/>
        <w:jc w:val="both"/>
        <w:rPr/>
      </w:pPr>
      <w:r w:rsidDel="00000000" w:rsidR="00000000" w:rsidRPr="00000000">
        <w:rPr>
          <w:rFonts w:ascii="Arial" w:cs="Arial" w:eastAsia="Arial" w:hAnsi="Arial"/>
          <w:sz w:val="28"/>
          <w:szCs w:val="28"/>
          <w:rtl w:val="0"/>
        </w:rPr>
        <w:t xml:space="preserve">Verifică îndeplinirea de către antreprenorii selectați a obiectivelor si rezultatelor asumate prin planul de afaceri propus si selectat in urma competiției planurilor de afaceri;</w:t>
      </w:r>
    </w:p>
    <w:p w:rsidR="00000000" w:rsidDel="00000000" w:rsidP="00000000" w:rsidRDefault="00000000" w:rsidRPr="00000000" w14:paraId="0000000E">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numPr>
          <w:ilvl w:val="2"/>
          <w:numId w:val="4"/>
        </w:numPr>
        <w:spacing w:after="0" w:line="240" w:lineRule="auto"/>
        <w:ind w:left="920" w:hanging="352"/>
        <w:jc w:val="both"/>
        <w:rPr/>
      </w:pPr>
      <w:r w:rsidDel="00000000" w:rsidR="00000000" w:rsidRPr="00000000">
        <w:rPr>
          <w:rFonts w:ascii="Arial" w:cs="Arial" w:eastAsia="Arial" w:hAnsi="Arial"/>
          <w:sz w:val="28"/>
          <w:szCs w:val="28"/>
          <w:rtl w:val="0"/>
        </w:rPr>
        <w:t xml:space="preserve">Monitorizează și evaluează indicatorii economici la nivelul societăților care au trecut de prima etapa de 12 luni de activitate;</w:t>
      </w:r>
    </w:p>
    <w:p w:rsidR="00000000" w:rsidDel="00000000" w:rsidP="00000000" w:rsidRDefault="00000000" w:rsidRPr="00000000" w14:paraId="00000010">
      <w:pPr>
        <w:ind w:left="92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1">
      <w:pPr>
        <w:numPr>
          <w:ilvl w:val="2"/>
          <w:numId w:val="4"/>
        </w:numPr>
        <w:spacing w:after="0" w:line="240" w:lineRule="auto"/>
        <w:ind w:left="920" w:hanging="352"/>
        <w:jc w:val="both"/>
        <w:rPr/>
      </w:pPr>
      <w:r w:rsidDel="00000000" w:rsidR="00000000" w:rsidRPr="00000000">
        <w:rPr>
          <w:rFonts w:ascii="Arial" w:cs="Arial" w:eastAsia="Arial" w:hAnsi="Arial"/>
          <w:sz w:val="28"/>
          <w:szCs w:val="28"/>
          <w:rtl w:val="0"/>
        </w:rPr>
        <w:t xml:space="preserve">Monitorizează și evaluează continuarea respectării condițiilor specifice Informării MFE din 24.10.2019;</w:t>
      </w:r>
    </w:p>
    <w:p w:rsidR="00000000" w:rsidDel="00000000" w:rsidP="00000000" w:rsidRDefault="00000000" w:rsidRPr="00000000" w14:paraId="00000012">
      <w:pPr>
        <w:ind w:left="920" w:firstLine="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3">
      <w:pPr>
        <w:numPr>
          <w:ilvl w:val="2"/>
          <w:numId w:val="4"/>
        </w:numPr>
        <w:spacing w:after="0" w:line="240" w:lineRule="auto"/>
        <w:ind w:left="920" w:hanging="352"/>
        <w:jc w:val="both"/>
        <w:rPr/>
      </w:pPr>
      <w:r w:rsidDel="00000000" w:rsidR="00000000" w:rsidRPr="00000000">
        <w:rPr>
          <w:rFonts w:ascii="Arial" w:cs="Arial" w:eastAsia="Arial" w:hAnsi="Arial"/>
          <w:sz w:val="28"/>
          <w:szCs w:val="28"/>
          <w:rtl w:val="0"/>
        </w:rPr>
        <w:t xml:space="preserve">Recomandă măsuri pentru îmbunătățirea desfășurării activităților la nivelul societăților.</w:t>
      </w:r>
    </w:p>
    <w:p w:rsidR="00000000" w:rsidDel="00000000" w:rsidP="00000000" w:rsidRDefault="00000000" w:rsidRPr="00000000" w14:paraId="00000014">
      <w:pPr>
        <w:widowControl w:val="0"/>
        <w:spacing w:after="120" w:before="120" w:line="360" w:lineRule="auto"/>
        <w:ind w:firstLine="72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widowControl w:val="0"/>
        <w:spacing w:after="120" w:before="12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DESCRIEREA PROCESULUI DE MONITORIZARE A SUSTENABILITĂTII PLANURILOR DE AFACERI DUPĂ FINALIZAREA PRIMELOR 12 LUNI DE LA INFIINTARE</w:t>
      </w:r>
    </w:p>
    <w:p w:rsidR="00000000" w:rsidDel="00000000" w:rsidP="00000000" w:rsidRDefault="00000000" w:rsidRPr="00000000" w14:paraId="00000016">
      <w:pPr>
        <w:widowControl w:val="0"/>
        <w:spacing w:after="120" w:before="120" w:line="360" w:lineRule="auto"/>
        <w:ind w:firstLine="720"/>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21"/>
        </w:tabs>
        <w:spacing w:after="0" w:before="0" w:line="360" w:lineRule="auto"/>
        <w:ind w:left="0" w:right="-9"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In cadrul acestei activități vor fi angajați 7 experți monitorizare sustenabilitate dezvoltare firme si un coordonator monitorizare sustenabilitate dezvoltare firme. Fiecare expert monitorizare sustenabilitate dezvoltare firme va avea in atribuții supravegherea implementării/dezvoltării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721"/>
        </w:tabs>
        <w:spacing w:after="0" w:before="0" w:line="360" w:lineRule="auto"/>
        <w:ind w:left="0" w:right="-9"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planurilor de afaceri, in unul din județele care compun regiunea Sud –Muntenia (regiunea are 7 județe: Argeș, Călărași, Dâmbovița, Giurgiu, Ialomița, Prahova, Teleorman).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In cazul in care concentrația firmelor înființate in cadrul proiectului este mai mare într-un județ decât in celelalte, repartizarea celor 33 de firme către cei 7 experți se va face echilibrat, de către coordonatorul monitorizare sustenabilitate dezvoltare firme.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721"/>
        </w:tabs>
        <w:spacing w:after="0" w:before="0" w:line="360" w:lineRule="auto"/>
        <w:ind w:left="0" w:right="-9" w:firstLine="0"/>
        <w:jc w:val="both"/>
        <w:rPr>
          <w:rFonts w:ascii="Arial" w:cs="Arial" w:eastAsia="Arial" w:hAnsi="Arial"/>
          <w:b w:val="0"/>
          <w:i w:val="0"/>
          <w:smallCaps w:val="0"/>
          <w:strike w:val="0"/>
          <w:color w:val="2b2b2b"/>
          <w:sz w:val="28"/>
          <w:szCs w:val="28"/>
          <w:u w:val="none"/>
          <w:shd w:fill="auto" w:val="clear"/>
          <w:vertAlign w:val="baseline"/>
        </w:rPr>
      </w:pPr>
      <w:r w:rsidDel="00000000" w:rsidR="00000000" w:rsidRPr="00000000">
        <w:rPr>
          <w:rFonts w:ascii="Arial" w:cs="Arial" w:eastAsia="Arial" w:hAnsi="Arial"/>
          <w:b w:val="0"/>
          <w:i w:val="0"/>
          <w:smallCaps w:val="0"/>
          <w:strike w:val="0"/>
          <w:color w:val="2b2b2b"/>
          <w:sz w:val="28"/>
          <w:szCs w:val="28"/>
          <w:u w:val="none"/>
          <w:shd w:fill="auto" w:val="clear"/>
          <w:vertAlign w:val="baseline"/>
          <w:rtl w:val="0"/>
        </w:rPr>
        <w:t xml:space="preserve">Monitorizarea este o analiza periodică a resurselor, activităților și rezultatelor planurilor de afaceri. Procesul de monitorizare se bazează pe un sistem coerent de culegere de informații despre stadiul planului de afaceri (rapoarte, analize și indicatori).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1"/>
        </w:tabs>
        <w:spacing w:after="0" w:before="0" w:line="360" w:lineRule="auto"/>
        <w:ind w:left="0" w:right="-9" w:firstLine="0"/>
        <w:jc w:val="both"/>
        <w:rPr>
          <w:rFonts w:ascii="Arial" w:cs="Arial" w:eastAsia="Arial" w:hAnsi="Arial"/>
          <w:b w:val="0"/>
          <w:i w:val="0"/>
          <w:smallCaps w:val="0"/>
          <w:strike w:val="0"/>
          <w:color w:val="2b2b2b"/>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widowControl w:val="0"/>
        <w:spacing w:after="120" w:before="12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color w:val="2b2b2b"/>
          <w:sz w:val="28"/>
          <w:szCs w:val="28"/>
          <w:rtl w:val="0"/>
        </w:rPr>
        <w:t xml:space="preserve">Monitorizarea reprezintă un mecanism de analiza sistematică de evaluare analitică </w:t>
      </w:r>
      <w:r w:rsidDel="00000000" w:rsidR="00000000" w:rsidRPr="00000000">
        <w:rPr>
          <w:rFonts w:ascii="Arial" w:cs="Arial" w:eastAsia="Arial" w:hAnsi="Arial"/>
          <w:sz w:val="28"/>
          <w:szCs w:val="28"/>
          <w:rtl w:val="0"/>
        </w:rPr>
        <w:t xml:space="preserve">a implementării/dezvoltării planului de </w:t>
      </w:r>
      <w:r w:rsidDel="00000000" w:rsidR="00000000" w:rsidRPr="00000000">
        <w:rPr>
          <w:rFonts w:ascii="Arial" w:cs="Arial" w:eastAsia="Arial" w:hAnsi="Arial"/>
          <w:color w:val="2b2b2b"/>
          <w:sz w:val="28"/>
          <w:szCs w:val="28"/>
          <w:rtl w:val="0"/>
        </w:rPr>
        <w:t xml:space="preserve">afaceri și constă în colectarea și analiza datelor, comunicarea și utilizarea informațiilor obținute despre progresul înregistrat în derularea activităților propuse.</w:t>
      </w:r>
      <w:r w:rsidDel="00000000" w:rsidR="00000000" w:rsidRPr="00000000">
        <w:rPr>
          <w:rtl w:val="0"/>
        </w:rPr>
      </w:r>
    </w:p>
    <w:p w:rsidR="00000000" w:rsidDel="00000000" w:rsidP="00000000" w:rsidRDefault="00000000" w:rsidRPr="00000000" w14:paraId="0000001C">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Experții angajați in cadrul A.9 vor întreprinde verificări bilunare asupra societăților înființate de membrii grupului țintă. Aceste verificări vor urmări următoarele aspecte:</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menținerea a cel puțin doua locuri de munca, conform prevederilor planului de afaceri. Se va avea in vedere păstrarea posturilor si a salariilor asumate prin planul de afaceri, cu atenție asupra menținerii normei orare si a ratei orare. Pentru cazurile in care locurile de munca sunt vacante in condiții extraordinare (instalarea incapacității de munca, deces etc.), antreprenorii au obligația de a depune toate eforturile pentru a angaja noi salariați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prin transmiterea Situației privind locurile de muncă vacante la AJOFM sau alte căi optime specificului afacerii in cauza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termen de cel mult 30 de zile, pe posturile vacante, cu menținerea acelorași drepturi si obligații salariale.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Pentru cazurile in care unii salariați intra in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incapacitate temporara de munca ce conduce d.p.d.v legal la suspendarea contractul de munca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condiții normale (șomaj tehnic, concediu fără plata, demisie etc) antreprenorii vor face noi angajări pe perioada determinata sau nedeterminat astfel încât sa se asigure continuitatea perioadei obligatorii de 24 de luni conform obligațiilor asumate in contractul de subvenție semnat,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fără întrerupere astfel încât sa existe 2 angajați in fiecare luna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Evident se va tine seama de particularitățile fiecărui caz, de acest gen, in parte.</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Noile angajări vor fi conforme precizărilor anterioare referitoare la menținerea normei orare si a ratei orare.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 cazul circumstanțelor deosebite se va depune către coordonator o nota explicativa. Coordonatorul activității A.9 va înainta către manager nota explicativa cu propriul punct de vedere, iar managerul proiectului va decide calea de urmat in speța prezentata.</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menținerea destinației bunurilor achiziționate din subvenție, atât din transa 1 cat si din transa 2, pe o perioada de minim 3 ani de la data de finalizare a proiectului POCU 104121, chiar daca durata normala de utilizare/folosință a fost depășita si bunurile ar putea fi casate sau scoase din evidenta contabila. In acest scop, experții monitorizare vor solicita de la antreprenori liste de inventariere, balanța imobilizărilor sau orice alt document din contabilitate privind imobilizările și obiectele de inventar în folosință;</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menținerea obiectului de activitate (CAEN principal si secundare prevăzute in planul de afaceri);</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menținerea tuturor premiselor ce au condus la calitatea de „membru al grupului țintă” – actualizare carte de identitate si/sau viza de flotant.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Membrii grupului țintă si angajații acestora trebuie sa fie si sa rămână cu domiciliul/reședința in zona Sud-Muntenia;</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continuarea funcționarii firmelor in parametrii normali. Se vor urmări: modul in care se derulează activitățile prevăzute, încadrarea in timpul estimat in planul de afaceri, asigurarea resurselor materiale, umane si financiare necesare, prevăzute in planul de afaceri;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obținerea rezultatelor planificate precum si a altor elemente care au stat la baza câștigării planului de afaceri in urma procesului de evaluare. </w:t>
        <w:br w:type="textWrapping"/>
        <w:t xml:space="preserve">La sfârșitul perioadei de sustenabilitate din cadrul proiectului se va prezenta imaginea de ansamblu asupra realizării acestor obiective si/sau indicatori de către coordonatorul activității, pe baza elementelor centralizate si transmise către acesta de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experții de monitorizare sustenabilitate firme.</w:t>
      </w:r>
      <w:r w:rsidDel="00000000" w:rsidR="00000000" w:rsidRPr="00000000">
        <w:rPr>
          <w:rtl w:val="0"/>
        </w:rPr>
      </w:r>
    </w:p>
    <w:p w:rsidR="00000000" w:rsidDel="00000000" w:rsidP="00000000" w:rsidRDefault="00000000" w:rsidRPr="00000000" w14:paraId="00000026">
      <w:pPr>
        <w:widowControl w:val="0"/>
        <w:spacing w:after="120" w:before="12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widowControl w:val="0"/>
        <w:spacing w:after="120" w:before="120" w:line="360" w:lineRule="auto"/>
        <w:ind w:firstLine="81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Antreprenorii au obligația de a anunța experții monitorizare privitor la orice modificare privitoare la salariați, bunuri subvenționate si activitatea desfășurata (CAEN). In funcție de tipul modificării, experții monitorizare găsesc masuri de rezolvare împreună cu antreprenorii, coordonatorul monitorizare si manager, după caz.</w:t>
      </w:r>
    </w:p>
    <w:p w:rsidR="00000000" w:rsidDel="00000000" w:rsidP="00000000" w:rsidRDefault="00000000" w:rsidRPr="00000000" w14:paraId="00000028">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Experții monitorizare vor consemna in fisele vizitelor de monitorizare pe perioada sustenabilității, pe baza indicatorilor verificați, daca firmele au continuat să funcționeze, menținând obiectul de activitate stabilit prin planul de afaceri, și totodată menținând cel puțin două locuri de muncă. De asemenea, vor menționa daca s-au respectat principiile egalității de șanse, a dezvoltării durabile, fiind implementate măsuri de inovare socială, reducerea emisiilor de dioxid de carbon și eficiența utilizării resurselor, utilizarea TIC, conform prevederilor din planul de afaceri câștigător. </w:t>
      </w:r>
    </w:p>
    <w:p w:rsidR="00000000" w:rsidDel="00000000" w:rsidP="00000000" w:rsidRDefault="00000000" w:rsidRPr="00000000" w14:paraId="00000029">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În cazul în care in perioada sustenabilității expertul monitorizare sustenabilitate dezvoltare firme constată orice fel de deficiențe, acesta va anunța coordonatorul în scris privind natura acestora și va propune măsuri în conformitate cu Procedura de monitorizare a firmelor pe perioada de sustenabilitate.</w:t>
      </w:r>
    </w:p>
    <w:p w:rsidR="00000000" w:rsidDel="00000000" w:rsidP="00000000" w:rsidRDefault="00000000" w:rsidRPr="00000000" w14:paraId="0000002A">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Coordonatorul monitorizare sustenabilitate dezvoltare firme primește de la experți fisele vizitelor de monitorizare si întocmește lunar un </w:t>
      </w:r>
      <w:r w:rsidDel="00000000" w:rsidR="00000000" w:rsidRPr="00000000">
        <w:rPr>
          <w:rFonts w:ascii="Arial" w:cs="Arial" w:eastAsia="Arial" w:hAnsi="Arial"/>
          <w:b w:val="1"/>
          <w:sz w:val="28"/>
          <w:szCs w:val="28"/>
          <w:rtl w:val="0"/>
        </w:rPr>
        <w:t xml:space="preserve">raport tehnico-financiar</w:t>
      </w:r>
      <w:r w:rsidDel="00000000" w:rsidR="00000000" w:rsidRPr="00000000">
        <w:rPr>
          <w:rFonts w:ascii="Arial" w:cs="Arial" w:eastAsia="Arial" w:hAnsi="Arial"/>
          <w:sz w:val="28"/>
          <w:szCs w:val="28"/>
          <w:rtl w:val="0"/>
        </w:rPr>
        <w:t xml:space="preserve"> referitor la progresul fiecărei firme înființate de membrii grupului țintă, raport in care va integra:</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concluziile experților monitorizare sustenabilitate dezvoltare firme rezultate in urma verificărilor făcute la fata locului si a discuțiilor avute cu membrii grupului țintă,</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înregistrările contabile ale fiecărei firme pe luna anterioara, evoluția financiara a fiecărei firme.</w:t>
      </w:r>
    </w:p>
    <w:p w:rsidR="00000000" w:rsidDel="00000000" w:rsidP="00000000" w:rsidRDefault="00000000" w:rsidRPr="00000000" w14:paraId="0000002D">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Raportul va urmări respectarea planului de afaceri aprobat si creșterea cifrei de afaceri in mod sustenabil pentru fiecare firma.</w:t>
      </w:r>
    </w:p>
    <w:p w:rsidR="00000000" w:rsidDel="00000000" w:rsidP="00000000" w:rsidRDefault="00000000" w:rsidRPr="00000000" w14:paraId="0000002E">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Coordonatorul va înainta raportul tehnico-financiar lunar managerului de proiect însoțit de propuneri privind luarea de </w:t>
      </w:r>
      <w:r w:rsidDel="00000000" w:rsidR="00000000" w:rsidRPr="00000000">
        <w:rPr>
          <w:rFonts w:ascii="Arial" w:cs="Arial" w:eastAsia="Arial" w:hAnsi="Arial"/>
          <w:b w:val="1"/>
          <w:sz w:val="28"/>
          <w:szCs w:val="28"/>
          <w:rtl w:val="0"/>
        </w:rPr>
        <w:t xml:space="preserve">masuri</w:t>
      </w:r>
      <w:r w:rsidDel="00000000" w:rsidR="00000000" w:rsidRPr="00000000">
        <w:rPr>
          <w:rFonts w:ascii="Arial" w:cs="Arial" w:eastAsia="Arial" w:hAnsi="Arial"/>
          <w:sz w:val="28"/>
          <w:szCs w:val="28"/>
          <w:rtl w:val="0"/>
        </w:rPr>
        <w:t xml:space="preserve">, conform “Procedurii privind acordarea ajutoarelor de minimis”, elaborate in cadrul activității A.7, in cazul in care:</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nu se menține obiectului de activitate al fiecărei firme;</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nu se continua funcționarea firmelor: modul in care se derulează activitățile prevăzute, încadrarea in timpul estimat in planul de afaceri, asigurarea resurselor materiale, umane si financiare necesare, prevăzute in planul de afaceri;</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nu se mențin cel puțin doua locuri de munca pentru fiecare firma înființată;</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nu sunt obținute rezultatele planificate, respectarea principiilor egalității de șanse, a dezvoltării durabile, implementarea masurilor de inovare sociala, reducerea emisiilor de dioxid de carbon si eficienta utilizării resurselor, utilizarea TIC, așa cum este prevăzut in fiecare plan de afaceri;</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nu se respecta planul de afaceri, contractul de subvenție si orice alte reglementari legale.</w:t>
      </w:r>
    </w:p>
    <w:p w:rsidR="00000000" w:rsidDel="00000000" w:rsidP="00000000" w:rsidRDefault="00000000" w:rsidRPr="00000000" w14:paraId="00000035">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In cazul in care firmele înființate in cadrul proiectului nu își continua activitatea si </w:t>
      </w:r>
      <w:r w:rsidDel="00000000" w:rsidR="00000000" w:rsidRPr="00000000">
        <w:rPr>
          <w:rFonts w:ascii="Arial" w:cs="Arial" w:eastAsia="Arial" w:hAnsi="Arial"/>
          <w:b w:val="1"/>
          <w:sz w:val="28"/>
          <w:szCs w:val="28"/>
          <w:rtl w:val="0"/>
        </w:rPr>
        <w:t xml:space="preserve">nu mențin cel puțin 2 locuri de munca</w:t>
      </w:r>
      <w:r w:rsidDel="00000000" w:rsidR="00000000" w:rsidRPr="00000000">
        <w:rPr>
          <w:rFonts w:ascii="Arial" w:cs="Arial" w:eastAsia="Arial" w:hAnsi="Arial"/>
          <w:sz w:val="28"/>
          <w:szCs w:val="28"/>
          <w:rtl w:val="0"/>
        </w:rPr>
        <w:t xml:space="preserve">, managerul de proiect, pe baza raportului întocmit de coordonatorul monitorizare sustenabilitate dezvoltare firme, va impune membrilor grupului țintă </w:t>
      </w:r>
      <w:r w:rsidDel="00000000" w:rsidR="00000000" w:rsidRPr="00000000">
        <w:rPr>
          <w:rFonts w:ascii="Arial" w:cs="Arial" w:eastAsia="Arial" w:hAnsi="Arial"/>
          <w:b w:val="1"/>
          <w:sz w:val="28"/>
          <w:szCs w:val="28"/>
          <w:rtl w:val="0"/>
        </w:rPr>
        <w:t xml:space="preserve">returnarea ajutorului de minimis acordat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6">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Coordonatorul monitorizare sustenabilitate dezvoltare firme, cu aprobarea managerului de proiect, poate lua decizia modificării planurilor de afaceri aprobate.</w:t>
      </w:r>
    </w:p>
    <w:p w:rsidR="00000000" w:rsidDel="00000000" w:rsidP="00000000" w:rsidRDefault="00000000" w:rsidRPr="00000000" w14:paraId="00000037">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Modificările nu pot elimina prevederile referitoare la</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8">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locul de implementare al planului de afaceri;</w:t>
      </w:r>
    </w:p>
    <w:p w:rsidR="00000000" w:rsidDel="00000000" w:rsidP="00000000" w:rsidRDefault="00000000" w:rsidRPr="00000000" w14:paraId="00000039">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respectarea principiilor egalității de șanse si al dezvoltării durabile;</w:t>
      </w:r>
    </w:p>
    <w:p w:rsidR="00000000" w:rsidDel="00000000" w:rsidP="00000000" w:rsidRDefault="00000000" w:rsidRPr="00000000" w14:paraId="0000003A">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obiectul de activitate principal al întreprinderii;</w:t>
      </w:r>
    </w:p>
    <w:p w:rsidR="00000000" w:rsidDel="00000000" w:rsidP="00000000" w:rsidRDefault="00000000" w:rsidRPr="00000000" w14:paraId="0000003B">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menținerea pe o perioada de cel puțin 24 de luni a doua locuri de munca in cadrul întreprinderii</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C">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activitățile ce vor promova concret sprijinirea tranziției către o economie cu emisii scăzute de dioxid de carbon si eficienta din punctul de vedere al utilizării resurselor; masurile ce vor promova concret inovarea sociala; masurile ce vor promova concret utilizarea si calitatea TIC prin implementarea unor soluții TIC în procesul de producție/ furnizare de bunuri, prestare de servicii si/sau execuție de lucrări; masurile ce vor promova concret consolidarea cercetării, a dezvoltării tehnologice si/sau a inovării, prin derularea de activități specifice.</w:t>
      </w:r>
    </w:p>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Modificările nu pot viza:</w:t>
      </w:r>
    </w:p>
    <w:p w:rsidR="00000000" w:rsidDel="00000000" w:rsidP="00000000" w:rsidRDefault="00000000" w:rsidRPr="00000000" w14:paraId="0000003F">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diminuarea rezultatelor/indicatorii planului de afaceri;</w:t>
      </w:r>
    </w:p>
    <w:p w:rsidR="00000000" w:rsidDel="00000000" w:rsidP="00000000" w:rsidRDefault="00000000" w:rsidRPr="00000000" w14:paraId="00000040">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creșterea costurilor incluse în buget daca nu exista o justificare clara, realista privind modificarea nivelului pieței in perioada scursa de la elaborarea planului de afaceri pana la implementare;</w:t>
      </w:r>
    </w:p>
    <w:p w:rsidR="00000000" w:rsidDel="00000000" w:rsidP="00000000" w:rsidRDefault="00000000" w:rsidRPr="00000000" w14:paraId="00000041">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obligativitatea continuării activităților întreprinderii după finalizarea ajutorului de minimis.</w:t>
      </w:r>
    </w:p>
    <w:p w:rsidR="00000000" w:rsidDel="00000000" w:rsidP="00000000" w:rsidRDefault="00000000" w:rsidRPr="00000000" w14:paraId="00000042">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Membrii grupului țintă beneficiari ai ajutorului de minimis sunt obligați sa pună la dispoziția experților monitorizare toate documentele solicitate si sa permită accesul acestora pentru verificarea factuală.</w:t>
      </w:r>
    </w:p>
    <w:p w:rsidR="00000000" w:rsidDel="00000000" w:rsidP="00000000" w:rsidRDefault="00000000" w:rsidRPr="00000000" w14:paraId="00000043">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Coordonatorul monitorizare sustenabilitate dezvoltare firme va organiza săptămânal </w:t>
      </w:r>
      <w:r w:rsidDel="00000000" w:rsidR="00000000" w:rsidRPr="00000000">
        <w:rPr>
          <w:rFonts w:ascii="Arial" w:cs="Arial" w:eastAsia="Arial" w:hAnsi="Arial"/>
          <w:b w:val="1"/>
          <w:sz w:val="28"/>
          <w:szCs w:val="28"/>
          <w:rtl w:val="0"/>
        </w:rPr>
        <w:t xml:space="preserve">ședințe</w:t>
      </w:r>
      <w:r w:rsidDel="00000000" w:rsidR="00000000" w:rsidRPr="00000000">
        <w:rPr>
          <w:rFonts w:ascii="Arial" w:cs="Arial" w:eastAsia="Arial" w:hAnsi="Arial"/>
          <w:sz w:val="28"/>
          <w:szCs w:val="28"/>
          <w:rtl w:val="0"/>
        </w:rPr>
        <w:t xml:space="preserve"> cu experții monitorizare sustenabilitate dezvoltare firme pentru analiza stadiului implementării planurilor de afaceri. Ședințele pot fi face to face sau prin orice alte modalități la distanta (online), după caz.</w:t>
      </w:r>
    </w:p>
    <w:p w:rsidR="00000000" w:rsidDel="00000000" w:rsidP="00000000" w:rsidRDefault="00000000" w:rsidRPr="00000000" w14:paraId="00000044">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Coordonatorul monitorizare sustenabilitate dezvoltare firme va completa datele cerute de sistemul electronic MySMIS pentru raportare in privința persoanelor care fac parte din grupul țintă.</w:t>
      </w:r>
    </w:p>
    <w:p w:rsidR="00000000" w:rsidDel="00000000" w:rsidP="00000000" w:rsidRDefault="00000000" w:rsidRPr="00000000" w14:paraId="00000045">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Experții monitorizare sustenabilitate dezvoltare firme si coordonatorul monitorizare sustenabilitate dezvoltare firme vor avea expertiza specifica de 10 ani.</w:t>
      </w:r>
    </w:p>
    <w:p w:rsidR="00000000" w:rsidDel="00000000" w:rsidP="00000000" w:rsidRDefault="00000000" w:rsidRPr="00000000" w14:paraId="00000046">
      <w:pPr>
        <w:widowControl w:val="0"/>
        <w:spacing w:after="120" w:before="120"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Pentru a îndeplini atribuțiile prevăzute anterior, aceștia vor trebui sa facă dovada unor abilitați excelente de comunicare si relaționare, acuratețe in redactare si exprimare, capacitate de organizare si planificare, experiență in lucru in echipa, atenție la detalii, adaptabilitate/flexibilitate si rezistenta la stres, capacitate de analiza si sinteza, cunoștințe de operare PC, cunoștințe in domeniul fondurilor europene.</w:t>
      </w:r>
    </w:p>
    <w:p w:rsidR="00000000" w:rsidDel="00000000" w:rsidP="00000000" w:rsidRDefault="00000000" w:rsidRPr="00000000" w14:paraId="00000047">
      <w:pPr>
        <w:widowControl w:val="0"/>
        <w:spacing w:after="120" w:before="12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widowControl w:val="0"/>
        <w:spacing w:after="120" w:before="120"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MENTIUNI IN CONTEXTUL PANDEMIEI DE COVID-19:</w:t>
      </w:r>
    </w:p>
    <w:p w:rsidR="00000000" w:rsidDel="00000000" w:rsidP="00000000" w:rsidRDefault="00000000" w:rsidRPr="00000000" w14:paraId="00000049">
      <w:pPr>
        <w:widowControl w:val="0"/>
        <w:spacing w:after="120" w:before="12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Având in vedere contextul socio-economic actual, la nivel național si internațional, generat de apariția si răspândirea SARS-CoV-2, procesul de monitorizare a implementării planurilor de afaceri continua cu recomandarea de a respecta indicațiile referitoare la distanțarea sociala si a regulilor de igiena obligatorii.</w:t>
      </w:r>
    </w:p>
    <w:p w:rsidR="00000000" w:rsidDel="00000000" w:rsidP="00000000" w:rsidRDefault="00000000" w:rsidRPr="00000000" w14:paraId="0000004B">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Astfel experții din cadrul A.9 vor face deplasări in teren pentru a se întâlni cu membrii grupului țintă, pe proprie răspundere, daca doresc asta. In cazul in care aleg acest mod de contact recomandam ca întâlnirile sa se facă in spatii deschise cu respectarea indicațiilor ministerului sănătății:</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1"/>
          <w:smallCaps w:val="0"/>
          <w:strike w:val="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NU intrați în contact direct cu persoanele aflate în autoizolare la domiciliu, indiferent dacă prezintă sau nu simptome specifice coronavirus;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1"/>
          <w:smallCaps w:val="0"/>
          <w:strike w:val="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NU intrați în contact direct decât după igienizarea mâinilor;</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Evitați atingerea suprafețelor care sunt atinse în mod frecvent și de alte persoane, precum: balustrade, clanțe, mânere, butoane de lift sau de acces. Daca sunteți nevoiți sa atingeți astfel de suprafețe protejați-va folosind șervetele de unica folosință;</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Pe perioada stării de urgenta si stării de alertă, masca de protecție trebuie purtată</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în orice spațiu public închis, spații comerciale, mijloace de transport în comun și la locul de muncă, pe toată durata prezenței în oricare din spațiile închise ale incintei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în conformitate cu condițiile impuse de Ordinul Comun MS-MAI nr. 874/81/2020 privind instituirea obligativității purtării măștii de protecție, a triajului epidemiologic și dezinfectarea obligatorie a mâinilor pentru prevenirea contaminării cu virusul SARS-CoV-2;</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1"/>
          <w:smallCaps w:val="0"/>
          <w:strike w:val="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Masca de protecție trebuie să acopere complet nasul și gura persoanei care o poartă.</w:t>
      </w:r>
    </w:p>
    <w:p w:rsidR="00000000" w:rsidDel="00000000" w:rsidP="00000000" w:rsidRDefault="00000000" w:rsidRPr="00000000" w14:paraId="00000051">
      <w:pPr>
        <w:widowControl w:val="0"/>
        <w:spacing w:after="120" w:before="12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Având in vedere ca ministerul sănătății recomanda „limitarea la maximum a oricărui contact direct cu alte persoane”, membrii grupului țintă nu mai au obligativitatea sa interacționeze direct, prin întâlniri fata către fata, cu monitorii, dar vor menține legătura cu aceștia prin mijloacele de comunicare la distanta – e-mail, telefon, servicii de curierat.</w:t>
      </w:r>
    </w:p>
    <w:p w:rsidR="00000000" w:rsidDel="00000000" w:rsidP="00000000" w:rsidRDefault="00000000" w:rsidRPr="00000000" w14:paraId="00000052">
      <w:pPr>
        <w:ind w:left="79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Întocmit,</w:t>
      </w:r>
    </w:p>
    <w:p w:rsidR="00000000" w:rsidDel="00000000" w:rsidP="00000000" w:rsidRDefault="00000000" w:rsidRPr="00000000" w14:paraId="00000053">
      <w:pPr>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Coordonator monitorizare sustenabilitate dezvoltare firme</w:t>
      </w:r>
    </w:p>
    <w:sectPr>
      <w:headerReference r:id="rId6" w:type="default"/>
      <w:footerReference r:id="rId7" w:type="default"/>
      <w:pgSz w:h="15840" w:w="12240"/>
      <w:pgMar w:bottom="1440" w:top="1531" w:left="1440" w:right="1440" w:header="567" w:footer="1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768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1550" cy="7683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200" cy="763200"/>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63200" cy="7632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49300" cy="762000"/>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493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decimal"/>
      <w:lvlText w:val="%1"/>
      <w:lvlJc w:val="left"/>
      <w:pPr>
        <w:ind w:left="147" w:hanging="374"/>
      </w:pPr>
      <w:rPr/>
    </w:lvl>
    <w:lvl w:ilvl="1">
      <w:start w:val="1"/>
      <w:numFmt w:val="decimal"/>
      <w:lvlText w:val="%1.%2"/>
      <w:lvlJc w:val="left"/>
      <w:pPr>
        <w:ind w:left="147" w:hanging="374"/>
      </w:pPr>
      <w:rPr>
        <w:rFonts w:ascii="Times New Roman" w:cs="Times New Roman" w:eastAsia="Times New Roman" w:hAnsi="Times New Roman"/>
        <w:b w:val="0"/>
        <w:color w:val="343434"/>
        <w:sz w:val="24"/>
        <w:szCs w:val="24"/>
      </w:rPr>
    </w:lvl>
    <w:lvl w:ilvl="2">
      <w:start w:val="1"/>
      <w:numFmt w:val="lowerLetter"/>
      <w:lvlText w:val="%3)"/>
      <w:lvlJc w:val="left"/>
      <w:pPr>
        <w:ind w:left="920" w:hanging="352"/>
      </w:pPr>
      <w:rPr>
        <w:rFonts w:ascii="Arial" w:cs="Arial" w:eastAsia="Arial" w:hAnsi="Arial"/>
        <w:b w:val="0"/>
        <w:color w:val="000000"/>
        <w:sz w:val="28"/>
        <w:szCs w:val="28"/>
      </w:rPr>
    </w:lvl>
    <w:lvl w:ilvl="3">
      <w:start w:val="1"/>
      <w:numFmt w:val="bullet"/>
      <w:lvlText w:val="•"/>
      <w:lvlJc w:val="left"/>
      <w:pPr>
        <w:ind w:left="3050" w:hanging="352"/>
      </w:pPr>
      <w:rPr/>
    </w:lvl>
    <w:lvl w:ilvl="4">
      <w:start w:val="1"/>
      <w:numFmt w:val="bullet"/>
      <w:lvlText w:val="•"/>
      <w:lvlJc w:val="left"/>
      <w:pPr>
        <w:ind w:left="4146" w:hanging="351.99999999999955"/>
      </w:pPr>
      <w:rPr/>
    </w:lvl>
    <w:lvl w:ilvl="5">
      <w:start w:val="1"/>
      <w:numFmt w:val="bullet"/>
      <w:lvlText w:val="•"/>
      <w:lvlJc w:val="left"/>
      <w:pPr>
        <w:ind w:left="5242" w:hanging="351.9999999999991"/>
      </w:pPr>
      <w:rPr/>
    </w:lvl>
    <w:lvl w:ilvl="6">
      <w:start w:val="1"/>
      <w:numFmt w:val="bullet"/>
      <w:lvlText w:val="•"/>
      <w:lvlJc w:val="left"/>
      <w:pPr>
        <w:ind w:left="6337" w:hanging="352"/>
      </w:pPr>
      <w:rPr/>
    </w:lvl>
    <w:lvl w:ilvl="7">
      <w:start w:val="1"/>
      <w:numFmt w:val="bullet"/>
      <w:lvlText w:val="•"/>
      <w:lvlJc w:val="left"/>
      <w:pPr>
        <w:ind w:left="7433" w:hanging="352.0000000000009"/>
      </w:pPr>
      <w:rPr/>
    </w:lvl>
    <w:lvl w:ilvl="8">
      <w:start w:val="1"/>
      <w:numFmt w:val="bullet"/>
      <w:lvlText w:val="•"/>
      <w:lvlJc w:val="left"/>
      <w:pPr>
        <w:ind w:left="8529" w:hanging="352.0000000000009"/>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